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小标宋_GBK" w:hAnsi="华文中宋" w:eastAsia="方正小标宋_GBK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华文中宋" w:eastAsia="方正小标宋_GBK" w:cs="Times New Roman"/>
          <w:b/>
          <w:bCs/>
          <w:color w:val="000000"/>
          <w:kern w:val="0"/>
          <w:sz w:val="36"/>
          <w:szCs w:val="36"/>
        </w:rPr>
        <w:t>行政处罚</w:t>
      </w:r>
      <w:r>
        <w:rPr>
          <w:rFonts w:hint="eastAsia" w:ascii="方正小标宋_GBK" w:hAnsi="华文中宋" w:eastAsia="方正小标宋_GBK" w:cs="Times New Roman"/>
          <w:b/>
          <w:bCs/>
          <w:color w:val="000000"/>
          <w:kern w:val="0"/>
          <w:sz w:val="36"/>
          <w:szCs w:val="36"/>
          <w:lang w:eastAsia="zh-CN"/>
        </w:rPr>
        <w:t>决定</w:t>
      </w:r>
      <w:r>
        <w:rPr>
          <w:rFonts w:hint="eastAsia" w:ascii="方正小标宋_GBK" w:hAnsi="华文中宋" w:eastAsia="方正小标宋_GBK" w:cs="Times New Roman"/>
          <w:b/>
          <w:bCs/>
          <w:color w:val="000000"/>
          <w:kern w:val="0"/>
          <w:sz w:val="36"/>
          <w:szCs w:val="36"/>
        </w:rPr>
        <w:t>信息公示表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96"/>
        <w:tblW w:w="1445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191"/>
        <w:gridCol w:w="1860"/>
        <w:gridCol w:w="2233"/>
        <w:gridCol w:w="2231"/>
        <w:gridCol w:w="1869"/>
        <w:gridCol w:w="1520"/>
        <w:gridCol w:w="1101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当事人名称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（姓名、职务）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行政处罚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决定书文号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违法行为类型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行政处罚内容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决定机关名称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作出行政处罚决定日期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公示期限（自公示之日起计算）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张家口银行股份有限公司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张银罚决字〔2024〕4号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1、未按规定开展持续的客户身份识别；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2、未按规定对异常交易进行人工分析、识别，排除理由不合理。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对单位处罚款人民币40万元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中国人民银行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张家口市分行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2024.06.18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三年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时任张家口银行股份有限公司管理部主任徐某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张银罚决字〔2024〕5号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1、未按规定开展持续的客户身份识别；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2、未按规定对异常交易进行人工分析、识别，排除理由不合理。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对有关责任人处罚款人民币2万元。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中国人民银行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张家口市分行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2024.06.18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三年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时任张家口银行股份有限公司蔚县支行行长韩某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张银罚决字〔2024〕6号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1、未按规定开展持续的客户身份识别；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2、未按规定对异常交易进行人工分析、识别，排除理由不合理。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对有关责任人处罚款人民币2万元。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中国人民银行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张家口市分行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2024.06.18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三年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474" w:right="1474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C59BE"/>
    <w:rsid w:val="4A795D36"/>
    <w:rsid w:val="7D6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2024-06-18T00:52:00Z</dcterms:created>
  <dc:creator>徐益顺</dc:creator>
  <cp:lastModifiedBy>徐益顺</cp:lastModifiedBy>
  <dcterms:modified xsi:type="dcterms:W3CDTF">2024-06-18T06:58:09Z</dcterms:modified>
  <dc:title>行政处罚决定信息公示表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